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E6D" w:rsidRDefault="00C03E6D" w:rsidP="00C03E6D">
      <w:pPr>
        <w:jc w:val="center"/>
      </w:pPr>
      <w:r>
        <w:t>Nefesh in the Mishkan:  Transitional Space</w:t>
      </w:r>
    </w:p>
    <w:p w:rsidR="00C03E6D" w:rsidRDefault="00C03E6D" w:rsidP="00C03E6D">
      <w:pPr>
        <w:jc w:val="center"/>
      </w:pPr>
      <w:r>
        <w:t>Rabbi Ellen Lewis</w:t>
      </w:r>
    </w:p>
    <w:p w:rsidR="00C03E6D" w:rsidRDefault="00C03E6D" w:rsidP="00C03E6D">
      <w:pPr>
        <w:jc w:val="center"/>
      </w:pPr>
      <w:r>
        <w:t xml:space="preserve"> CCAR March 2015 3/18/15</w:t>
      </w:r>
    </w:p>
    <w:p w:rsidR="00C03E6D" w:rsidRDefault="00C03E6D" w:rsidP="00C03E6D">
      <w:pPr>
        <w:jc w:val="center"/>
      </w:pPr>
    </w:p>
    <w:p w:rsidR="00C03E6D" w:rsidRDefault="00C03E6D" w:rsidP="00C03E6D">
      <w:pPr>
        <w:spacing w:line="480" w:lineRule="auto"/>
      </w:pPr>
      <w:r>
        <w:t>One Yom Kippur morning, after I had given my sermon, I stepped down from the bimah only to be greeted by a distraught congregant.  “Rabbi, why didn’t you yell at us?” she demanded.  I was fairly early in my rabbinate and to that pulpit, and so I was still capable of being surprised.  “But Naomi,” I said, “I didn’t want to yell at you.”  “Rabbi,” she said, “It just isn’t Yom Kippur for me unless I get yelled at.”</w:t>
      </w:r>
    </w:p>
    <w:p w:rsidR="00C03E6D" w:rsidRDefault="00C03E6D" w:rsidP="00C03E6D">
      <w:pPr>
        <w:spacing w:line="480" w:lineRule="auto"/>
      </w:pPr>
      <w:r>
        <w:t>In hindsight, I am grateful to Naomi. That exchange led me to contemplate both how my congregants wanted to feel and also how I wanted them to feel as a result of the holy day experience.  I would have told you at the time that I wanted people to feel better when they left than when they came in, but after years of conducting High Holy Day services, I now understand that we can’t cause people to have a particular feeling.  We can’t make them feel better if they don’t want to feel better. We can’t make them forgive if they don’t want to forgive. All we can do is try to create an environment   in which they can choose the experience they need to have. We can help them have that experience by creating the right kind of spiritual space.</w:t>
      </w:r>
    </w:p>
    <w:p w:rsidR="00C03E6D" w:rsidRDefault="00C03E6D" w:rsidP="00C03E6D">
      <w:pPr>
        <w:spacing w:line="480" w:lineRule="auto"/>
      </w:pPr>
      <w:r>
        <w:t xml:space="preserve">I think of this as a Transitional Space, in homage to the British psychoanalyst Donald Winnicott.  It is transitional externally, of course – people move between sanctuary and home, between old year and new.  But I am thinking of a space that bridges the external and the internal, a place in which their outer reality can move aside to make way for their inner nefesh.  The self needs space. The Mishkan  (which is a </w:t>
      </w:r>
      <w:proofErr w:type="gramStart"/>
      <w:r>
        <w:t>transitional</w:t>
      </w:r>
      <w:proofErr w:type="gramEnd"/>
      <w:r>
        <w:t xml:space="preserve"> space by itself) becomes as a holy container, if you will, in which people can feel free to experience a deep sense of self.  It allows them to connect with how they feel about what came before, what is happening in this moment and what will come next. Transitional Space is an environment that makes no demands, lest we distract people from their own selves in that moment.</w:t>
      </w:r>
    </w:p>
    <w:p w:rsidR="00C03E6D" w:rsidRDefault="00C03E6D" w:rsidP="00C03E6D">
      <w:pPr>
        <w:spacing w:line="480" w:lineRule="auto"/>
      </w:pPr>
      <w:r>
        <w:t xml:space="preserve">Creating that kind of space, that kind of holding environment, is a challenge for us, especially in the midst of the High Holy Day tumult.  It means that we as clergy need to let go of our own urgent feeling that we have to produce. It means we need to give up the idea that we have to do something so that they do something.  If we can replace pressure with presence, we can have a better experience ourselves, while at the same time allowing our congregants that paradoxical experience of feeling safely alone in the holding presence of others. </w:t>
      </w:r>
    </w:p>
    <w:p w:rsidR="00C03E6D" w:rsidRDefault="00C03E6D" w:rsidP="00C03E6D">
      <w:pPr>
        <w:spacing w:line="480" w:lineRule="auto"/>
      </w:pPr>
      <w:r>
        <w:t xml:space="preserve">What is the kind of deep self-reflection that can take place in such a transitional space?    On Yom Kippur, we think about forgiveness. So let’s think about forgiveness in this context.  We want people to forgive because our tradition values forgiveness and because we know it is better for them. But they can’t and won’t forgive just because the liturgy says so and we want them to.  In fact, they will just feel bad that we are asking something of them they can’t do. And we also know people can’t enter the sanctuary, sit down, and suddenly forgive.  In fact, that kind of forgiveness is suspect.  It can be a kind of mourning manqué, a way of skipping over a grieving process and coming to acceptance prematurely. </w:t>
      </w:r>
    </w:p>
    <w:p w:rsidR="00C03E6D" w:rsidRDefault="00C03E6D" w:rsidP="00C03E6D">
      <w:pPr>
        <w:spacing w:line="480" w:lineRule="auto"/>
      </w:pPr>
      <w:r>
        <w:t xml:space="preserve">If we really want to guide people on the path to forgiveness, we first need to create the space for them to grieve. Grief has to precede forgiveness. We rabbis know something about grief.  We know that grieving is the ultimate transitional experience.   It requires being alone with your self   while feeling held by the community around you.  It can’t be rushed.  The process of grieving is necessary for forgiveness if not always sufficient. And so we as clergy need to create the transitional space for grief and offer that permission to our congregants.  </w:t>
      </w:r>
    </w:p>
    <w:p w:rsidR="00C03E6D" w:rsidRDefault="00C03E6D" w:rsidP="00C03E6D">
      <w:pPr>
        <w:spacing w:line="480" w:lineRule="auto"/>
      </w:pPr>
      <w:r>
        <w:t>What do people need to grieve?  Whatever they need to grieve – lost opportunities, failed relationships, shattered hopes and dreams.  Often we don’t let ourselves grieve because deep down we don’t want to forgive.  We experience a secret satisfaction in holding onto hurt and resentment. Think about it. If you can maintain being the victim, then you can freeze the offender in that position as well.  You stay connected. The danger of losing that connection to the person who hurt you is so great that you will do anything to preserve it.   Without it, you will be alone. And then you will have to decide who you are now that you are no longer that person.</w:t>
      </w:r>
    </w:p>
    <w:p w:rsidR="00C03E6D" w:rsidRDefault="00C03E6D" w:rsidP="00C03E6D">
      <w:pPr>
        <w:spacing w:line="480" w:lineRule="auto"/>
      </w:pPr>
      <w:r>
        <w:t>Long before they know if they want to forgive, people need the transitional space of the Mishkan so they can reconnect with their selves.  They may use it to grieve and recalibrate. That is a process that we can only hope to begin on these holy days, helping people find the emotional and spiritual freedom to get back in touch with the essence of who they are. Then they might choose to forgive or not.  We just don’t know what will happen next. But they will leave feeling a greater sense of self and a large openness to growth in the New Year, even if they haven’t gotten yelled at.</w:t>
      </w:r>
    </w:p>
    <w:p w:rsidR="00835EAA" w:rsidRPr="008F0952" w:rsidRDefault="00835EAA" w:rsidP="00835EAA">
      <w:pPr>
        <w:jc w:val="center"/>
        <w:rPr>
          <w:b/>
        </w:rPr>
      </w:pPr>
      <w:r w:rsidRPr="008F0952">
        <w:rPr>
          <w:b/>
        </w:rPr>
        <w:t>Sources on Winnicott, forgiveness and transitional space</w:t>
      </w:r>
      <w:r>
        <w:rPr>
          <w:b/>
        </w:rPr>
        <w:t xml:space="preserve"> – compiled EJL 2015</w:t>
      </w:r>
    </w:p>
    <w:p w:rsidR="00835EAA" w:rsidRDefault="00835EAA" w:rsidP="00835EAA">
      <w:r>
        <w:t>Forgiveness is not a pathway by which we learn to grieve and mourn, even as forgiveness and mourning may eventually reinforce each other.  The ability to mourn loss comes first.  From this ability the capacity for forgiveness is born.  When and how we grant forgiveness is a matter of cultivation and culture.  Forgiveness is the outcome of successful mourning.  Not a necessary outcome, but a possible one.</w:t>
      </w:r>
    </w:p>
    <w:p w:rsidR="00835EAA" w:rsidRDefault="00835EAA" w:rsidP="00835EAA">
      <w:r>
        <w:t>Judith Butler (</w:t>
      </w:r>
      <w:r w:rsidRPr="003B6906">
        <w:rPr>
          <w:u w:val="single"/>
        </w:rPr>
        <w:t>Precarious Life:  The Powers of Mourning and Violence</w:t>
      </w:r>
      <w:r>
        <w:t xml:space="preserve">, London: Verso, 2004) makes the good point that we fight not only against the finality of loss, but the transformation to the self that must follow once we accept this loss.  Generally this loss is of another person to whom we are deeply attached, but it may be to an idea about ourselves, or about the world. </w:t>
      </w:r>
      <w:r>
        <w:rPr>
          <w:rStyle w:val="FootnoteReference"/>
        </w:rPr>
        <w:footnoteReference w:id="-1"/>
      </w:r>
      <w:r>
        <w:t xml:space="preserve">  </w:t>
      </w:r>
    </w:p>
    <w:p w:rsidR="00835EAA" w:rsidRDefault="00835EAA" w:rsidP="00835EAA">
      <w:r>
        <w:t xml:space="preserve">Transitional space is first experienced as </w:t>
      </w:r>
      <w:proofErr w:type="gramStart"/>
      <w:r>
        <w:t>the child is held by its mother or other caretaker</w:t>
      </w:r>
      <w:proofErr w:type="gramEnd"/>
      <w:r>
        <w:t xml:space="preserve">.  If mother is in tune with her child, </w:t>
      </w:r>
      <w:proofErr w:type="gramStart"/>
      <w:r>
        <w:t>which</w:t>
      </w:r>
      <w:proofErr w:type="gramEnd"/>
      <w:r>
        <w:t xml:space="preserve"> means that she neither crushes the child with her anxiety, nor drops the child with her distraction and mental absence, the child does not have to even think “I feel held.”  Instead, the child is free to be, which means free to begin to explore his or her environment, free to begin to experience him or herself as unique and yet connected to another.  The capacity to experience oneself as both uniquely individual yet connected serves the individual his or her whole life long, making it possible to live in a community without feeling like a drone.</w:t>
      </w:r>
      <w:r>
        <w:rPr>
          <w:rStyle w:val="FootnoteReference"/>
        </w:rPr>
        <w:footnoteReference w:id="0"/>
      </w:r>
      <w:r>
        <w:t xml:space="preserve"> </w:t>
      </w:r>
    </w:p>
    <w:p w:rsidR="00835EAA" w:rsidRDefault="00835EAA" w:rsidP="00835EAA">
      <w:r>
        <w:t>Transitional states are more likely when one lives in a culturally rich community, where one is able to find holding in music, art, religion, and simple friendship.  Though community is no replacement for the loving care and concern shown by individuals, loving care and concern are much more likely to be forthcoming in a coherent community. This is a key point, and no single point stands out more clearly in Kai Erikson’s (1976, 1994) studies of man-made disasters. Destroy the community, and you make it much more difficult for individuals in these communities to care for each other.  Communities hold the people who hold each other when things go wrong.</w:t>
      </w:r>
      <w:r>
        <w:rPr>
          <w:rStyle w:val="FootnoteReference"/>
        </w:rPr>
        <w:footnoteReference w:id="1"/>
      </w:r>
    </w:p>
    <w:p w:rsidR="00835EAA" w:rsidRDefault="00835EAA" w:rsidP="00835EAA">
      <w:r>
        <w:t xml:space="preserve">Forgiveness comes in its own time.  Forgiveness comes from some other place.  We can create the conditions under which we hope it will appear.  We may feel good that is has appeared. But we can’t control the whole thing. </w:t>
      </w:r>
      <w:r>
        <w:rPr>
          <w:rStyle w:val="FootnoteReference"/>
        </w:rPr>
        <w:footnoteReference w:id="2"/>
      </w:r>
      <w:r>
        <w:t xml:space="preserve">  </w:t>
      </w:r>
    </w:p>
    <w:p w:rsidR="00835EAA" w:rsidRDefault="00835EAA" w:rsidP="00835EAA">
      <w:pPr>
        <w:spacing w:line="480" w:lineRule="auto"/>
        <w:jc w:val="center"/>
      </w:pPr>
      <w:r>
        <w:t>Nefesh part 2  - text study</w:t>
      </w:r>
    </w:p>
    <w:p w:rsidR="00835EAA" w:rsidRDefault="00835EAA" w:rsidP="00835EAA">
      <w:pPr>
        <w:spacing w:line="480" w:lineRule="auto"/>
        <w:jc w:val="center"/>
      </w:pPr>
      <w:r>
        <w:t>CCAR March 2015 3/18/15</w:t>
      </w:r>
    </w:p>
    <w:p w:rsidR="00835EAA" w:rsidRDefault="00835EAA" w:rsidP="00835EAA">
      <w:pPr>
        <w:spacing w:line="480" w:lineRule="auto"/>
        <w:jc w:val="center"/>
      </w:pPr>
      <w:r>
        <w:t xml:space="preserve">Rabbi Ellen Lewis  </w:t>
      </w:r>
    </w:p>
    <w:p w:rsidR="00835EAA" w:rsidRDefault="00835EAA" w:rsidP="00835EAA">
      <w:pPr>
        <w:spacing w:line="480" w:lineRule="auto"/>
      </w:pPr>
      <w:r>
        <w:t xml:space="preserve">I used this Midrash (Vayikra Rabba 29:3) in the essay I wrote about forgiveness for the new machzor.  I have used it many times in sermons, as I imagine many of you have. When I have used this image before, I have used it literally.  I have said that it is the power of our repentance that moves God to move from one throne to the other. </w:t>
      </w:r>
    </w:p>
    <w:p w:rsidR="00835EAA" w:rsidRDefault="00835EAA" w:rsidP="00835EAA">
      <w:pPr>
        <w:spacing w:line="480" w:lineRule="auto"/>
      </w:pPr>
      <w:r>
        <w:t xml:space="preserve">That might be true, but since I wrote that essay, I have been thinking about the blowing of the shofar as if it is a signal, not an imperative.  That signal creates the Transitional Space for God to ascend up to God’s own self, as it were.  We are holding </w:t>
      </w:r>
      <w:proofErr w:type="gramStart"/>
      <w:r>
        <w:t>God, we the Jewish people, and allowing God space to renew the divine nefesh</w:t>
      </w:r>
      <w:proofErr w:type="gramEnd"/>
      <w:r>
        <w:t>.  We can’t force God to forgive us.  We can just offer God what we can offer and allow God to consider us.</w:t>
      </w:r>
    </w:p>
    <w:p w:rsidR="00835EAA" w:rsidRDefault="00835EAA" w:rsidP="00835EAA">
      <w:pPr>
        <w:spacing w:line="480" w:lineRule="auto"/>
      </w:pPr>
      <w:r>
        <w:t>I picture God sitting in a contemplative space between the thrones having a shabbaton, as God wants us to have a solemn rest.     Something internal to God happens that allows God to make a choice to move.    Perhaps God recalls the joining of Godself with our selves in covenant.  Perhaps God mourns for what God had hoped for us and then lets go of all those old fantasies, inspiring God to help us build a new and real relationship in the coming year. Maybe that is what leads God to move from one throne to the other, to forgive us.</w:t>
      </w:r>
    </w:p>
    <w:p w:rsidR="00835EAA" w:rsidRDefault="00835EAA" w:rsidP="00835EAA">
      <w:pPr>
        <w:spacing w:line="480" w:lineRule="auto"/>
      </w:pPr>
      <w:r>
        <w:t xml:space="preserve">And then we can reverse this image to one that is more traditional. The sounding of the shofar is a signal to us that God is holding us in this moment, allowing us the space to be ourselves so that we can return to God in a whole complete way.  God is, in fact, the transitional space, offering us the solemn rest for our own contemplation. We, too, recall the joining of our selves with God’s self.  We, too, grieve our disappointments in God and in ourselves. And then we are also free to build new and real relationships with the Divine and with our selves in the coming year. We, too, get up and shift thrones from justice to mercy.  </w:t>
      </w:r>
    </w:p>
    <w:p w:rsidR="00835EAA" w:rsidRDefault="00835EAA" w:rsidP="00835EAA">
      <w:pPr>
        <w:spacing w:line="480" w:lineRule="auto"/>
      </w:pPr>
      <w:r>
        <w:t xml:space="preserve">And so there is a transitional space between us, one that allows our selves the freedom to be human and allows Godself the freedom to be God. </w:t>
      </w:r>
    </w:p>
    <w:p w:rsidR="009569E5" w:rsidRDefault="00835EAA"/>
    <w:sectPr w:rsidR="009569E5" w:rsidSect="004620A8">
      <w:footerReference w:type="even" r:id="rId5"/>
      <w:footerReference w:type="default" r:id="rId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176" w:rsidRDefault="00835EAA" w:rsidP="000F6C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67176" w:rsidRDefault="00835EAA" w:rsidP="000F6CE2">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176" w:rsidRDefault="00835EAA" w:rsidP="000F6C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67176" w:rsidRDefault="00835EAA" w:rsidP="000F6CE2">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835EAA" w:rsidRDefault="00835EAA" w:rsidP="00835EAA">
      <w:pPr>
        <w:pStyle w:val="FootnoteText"/>
      </w:pPr>
      <w:r>
        <w:rPr>
          <w:rStyle w:val="FootnoteReference"/>
        </w:rPr>
        <w:footnoteRef/>
      </w:r>
      <w:r>
        <w:t xml:space="preserve"> C. Fred Alford, “Forgiveness as Transitional Experience:  A Winnicottian Approach.” In </w:t>
      </w:r>
      <w:r w:rsidRPr="003B6906">
        <w:rPr>
          <w:i/>
        </w:rPr>
        <w:t>International Journal of Applied Psychoanalytic Studies</w:t>
      </w:r>
      <w:r>
        <w:t xml:space="preserve"> 10 (4)</w:t>
      </w:r>
      <w:proofErr w:type="gramStart"/>
      <w:r>
        <w:t>:319</w:t>
      </w:r>
      <w:proofErr w:type="gramEnd"/>
      <w:r>
        <w:t>-333 (2013). P. 320.</w:t>
      </w:r>
    </w:p>
  </w:footnote>
  <w:footnote w:id="0">
    <w:p w:rsidR="00835EAA" w:rsidRDefault="00835EAA" w:rsidP="00835EAA">
      <w:pPr>
        <w:pStyle w:val="FootnoteText"/>
      </w:pPr>
      <w:r>
        <w:rPr>
          <w:rStyle w:val="FootnoteReference"/>
        </w:rPr>
        <w:footnoteRef/>
      </w:r>
      <w:r>
        <w:t xml:space="preserve"> Alford, p. 323, quoting Winnicott, 1971 “Transitional objects and transitional phenomena.” </w:t>
      </w:r>
    </w:p>
  </w:footnote>
  <w:footnote w:id="1">
    <w:p w:rsidR="00835EAA" w:rsidRDefault="00835EAA" w:rsidP="00835EAA">
      <w:pPr>
        <w:pStyle w:val="FootnoteText"/>
      </w:pPr>
      <w:r>
        <w:rPr>
          <w:rStyle w:val="FootnoteReference"/>
        </w:rPr>
        <w:footnoteRef/>
      </w:r>
      <w:r>
        <w:t xml:space="preserve"> Alford, p. 327.</w:t>
      </w:r>
    </w:p>
  </w:footnote>
  <w:footnote w:id="2">
    <w:p w:rsidR="00835EAA" w:rsidRDefault="00835EAA" w:rsidP="00835EAA">
      <w:r>
        <w:rPr>
          <w:rStyle w:val="FootnoteReference"/>
        </w:rPr>
        <w:footnoteRef/>
      </w:r>
      <w:r>
        <w:t xml:space="preserve"> Thomas Moore, quoted in Doblmeier, M. 2007. </w:t>
      </w:r>
      <w:proofErr w:type="gramStart"/>
      <w:r>
        <w:t>The Power of Forgiveness.</w:t>
      </w:r>
      <w:proofErr w:type="gramEnd"/>
      <w:r>
        <w:t xml:space="preserve">  Alexandria, Va:  Journey Films [documentary film]  </w:t>
      </w:r>
    </w:p>
    <w:p w:rsidR="00835EAA" w:rsidRDefault="00835EAA" w:rsidP="00835EAA">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32117"/>
    <w:rsid w:val="00132117"/>
    <w:rsid w:val="00835EAA"/>
    <w:rsid w:val="00C03E6D"/>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E6D"/>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C03E6D"/>
    <w:pPr>
      <w:tabs>
        <w:tab w:val="center" w:pos="4320"/>
        <w:tab w:val="right" w:pos="8640"/>
      </w:tabs>
      <w:spacing w:after="0"/>
    </w:pPr>
  </w:style>
  <w:style w:type="character" w:customStyle="1" w:styleId="FooterChar">
    <w:name w:val="Footer Char"/>
    <w:basedOn w:val="DefaultParagraphFont"/>
    <w:link w:val="Footer"/>
    <w:uiPriority w:val="99"/>
    <w:semiHidden/>
    <w:rsid w:val="00C03E6D"/>
    <w:rPr>
      <w:sz w:val="24"/>
      <w:szCs w:val="24"/>
    </w:rPr>
  </w:style>
  <w:style w:type="character" w:styleId="PageNumber">
    <w:name w:val="page number"/>
    <w:basedOn w:val="DefaultParagraphFont"/>
    <w:uiPriority w:val="99"/>
    <w:semiHidden/>
    <w:unhideWhenUsed/>
    <w:rsid w:val="00C03E6D"/>
  </w:style>
  <w:style w:type="paragraph" w:styleId="FootnoteText">
    <w:name w:val="footnote text"/>
    <w:basedOn w:val="Normal"/>
    <w:link w:val="FootnoteTextChar"/>
    <w:uiPriority w:val="99"/>
    <w:semiHidden/>
    <w:unhideWhenUsed/>
    <w:rsid w:val="00835EAA"/>
    <w:pPr>
      <w:spacing w:after="0"/>
    </w:pPr>
  </w:style>
  <w:style w:type="character" w:customStyle="1" w:styleId="FootnoteTextChar">
    <w:name w:val="Footnote Text Char"/>
    <w:basedOn w:val="DefaultParagraphFont"/>
    <w:link w:val="FootnoteText"/>
    <w:uiPriority w:val="99"/>
    <w:semiHidden/>
    <w:rsid w:val="00835EAA"/>
    <w:rPr>
      <w:sz w:val="24"/>
      <w:szCs w:val="24"/>
    </w:rPr>
  </w:style>
  <w:style w:type="character" w:styleId="FootnoteReference">
    <w:name w:val="footnote reference"/>
    <w:basedOn w:val="DefaultParagraphFont"/>
    <w:uiPriority w:val="99"/>
    <w:semiHidden/>
    <w:unhideWhenUsed/>
    <w:rsid w:val="00835EAA"/>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1409</Words>
  <Characters>8033</Characters>
  <Application>Microsoft Macintosh Word</Application>
  <DocSecurity>0</DocSecurity>
  <Lines>66</Lines>
  <Paragraphs>16</Paragraphs>
  <ScaleCrop>false</ScaleCrop>
  <LinksUpToDate>false</LinksUpToDate>
  <CharactersWithSpaces>9865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Lewis</dc:creator>
  <cp:keywords/>
  <cp:lastModifiedBy>Ellen Lewis</cp:lastModifiedBy>
  <cp:revision>3</cp:revision>
  <dcterms:created xsi:type="dcterms:W3CDTF">2015-03-20T17:00:00Z</dcterms:created>
  <dcterms:modified xsi:type="dcterms:W3CDTF">2015-03-20T17:02:00Z</dcterms:modified>
</cp:coreProperties>
</file>